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57" w:after="57" w:line="283" w:lineRule="exact"/>
        <w:tabs>
          <w:tab w:val="left" w:pos="567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" behindDoc="0" locked="0" layoutInCell="1" allowOverlap="1">
                <wp:simplePos x="0" y="0"/>
                <wp:positionH relativeFrom="column">
                  <wp:posOffset>1169987</wp:posOffset>
                </wp:positionH>
                <wp:positionV relativeFrom="paragraph">
                  <wp:posOffset>-219581</wp:posOffset>
                </wp:positionV>
                <wp:extent cx="2912745" cy="618490"/>
                <wp:effectExtent l="0" t="0" r="0" b="0"/>
                <wp:wrapSquare wrapText="bothSides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130044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12743" cy="6184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120;o:allowoverlap:true;o:allowincell:true;mso-position-horizontal-relative:text;margin-left:92.12pt;mso-position-horizontal:absolute;mso-position-vertical-relative:text;margin-top:-17.29pt;mso-position-vertical:absolute;width:229.35pt;height:48.70pt;mso-wrap-distance-left:9.07pt;mso-wrap-distance-top:0.00pt;mso-wrap-distance-right:9.07pt;mso-wrap-distance-bottom:0.00pt;" stroked="false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jc w:val="center"/>
        <w:spacing w:before="57" w:after="57" w:line="283" w:lineRule="exact"/>
        <w:tabs>
          <w:tab w:val="left" w:pos="567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/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</w:p>
    <w:p>
      <w:pPr>
        <w:contextualSpacing/>
        <w:jc w:val="center"/>
        <w:spacing w:before="51" w:after="57" w:line="240" w:lineRule="auto"/>
        <w:tabs>
          <w:tab w:val="left" w:pos="567" w:leader="none"/>
        </w:tabs>
        <w:rPr>
          <w:rFonts w:ascii="Tinos" w:hAnsi="Tinos" w:cs="Tinos"/>
          <w:color w:val="000000"/>
          <w:sz w:val="32"/>
          <w:szCs w:val="32"/>
        </w:rPr>
      </w:pPr>
      <w:r>
        <w:rPr>
          <w:rFonts w:ascii="Tinos" w:hAnsi="Tinos" w:cs="Tinos"/>
          <w:color w:val="000000"/>
          <w:sz w:val="32"/>
          <w:szCs w:val="32"/>
        </w:rPr>
      </w:r>
      <w:r>
        <w:rPr>
          <w:rFonts w:ascii="Tinos" w:hAnsi="Tinos" w:cs="Tinos"/>
          <w:color w:val="000000"/>
          <w:sz w:val="32"/>
          <w:szCs w:val="32"/>
        </w:rPr>
      </w:r>
      <w:r>
        <w:rPr>
          <w:rFonts w:ascii="Tinos" w:hAnsi="Tinos" w:cs="Tinos"/>
          <w:color w:val="000000"/>
          <w:sz w:val="32"/>
          <w:szCs w:val="32"/>
        </w:rPr>
      </w:r>
    </w:p>
    <w:p>
      <w:pPr>
        <w:contextualSpacing/>
        <w:jc w:val="center"/>
        <w:spacing w:before="51" w:after="57" w:line="240" w:lineRule="auto"/>
        <w:tabs>
          <w:tab w:val="left" w:pos="567" w:leader="none"/>
        </w:tabs>
        <w:rPr>
          <w:rFonts w:ascii="Tinos" w:hAnsi="Tinos" w:eastAsia="Tinos" w:cs="Tinos"/>
          <w:color w:val="000000"/>
          <w:sz w:val="32"/>
          <w:szCs w:val="32"/>
        </w:rPr>
      </w:pPr>
      <w:r>
        <w:rPr>
          <w:rFonts w:ascii="Tinos" w:hAnsi="Tinos" w:eastAsia="Tinos" w:cs="Tinos"/>
          <w:b/>
          <w:color w:val="000000"/>
          <w:sz w:val="32"/>
          <w:szCs w:val="32"/>
        </w:rPr>
        <w:t xml:space="preserve">Почему важно забрать документы сразу после регистрации права собственности: риски и практические последствия</w:t>
      </w:r>
      <w:r>
        <w:rPr>
          <w:rFonts w:ascii="Tinos" w:hAnsi="Tinos" w:eastAsia="Tinos" w:cs="Tinos"/>
          <w:color w:val="000000"/>
          <w:sz w:val="32"/>
          <w:szCs w:val="32"/>
        </w:rPr>
      </w:r>
      <w:r>
        <w:rPr>
          <w:rFonts w:ascii="Tinos" w:hAnsi="Tinos" w:eastAsia="Tinos" w:cs="Tinos"/>
          <w:color w:val="000000"/>
          <w:sz w:val="32"/>
          <w:szCs w:val="32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567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567" w:leader="none"/>
        </w:tabs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Многие считают, что главное — это зарегистрировать право собственности, а забрать документы можно и потом. На практике такое «потом» нередко оборачивается потерей времени, денег и нервов. Документы, подтверждающие переход права,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–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не формальность, а рабочий инструмент, без которого невозможно распоряжаться имуществом и решать бытовые вопросы. Специалисты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филиала ППК «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Роскадастр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» по 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ркутской области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рассказывают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почему не стоит откладывать получение документов.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567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После государственной регистрации права собственности на объект недвижимости выдаются следующие документы: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- Актуальная выписка из Единого государственного реестра недвижимости (ЕГРН). Это основное подтверждение права. Выписка — единственный документ, который принимают государственные органы, банки, управляющие компании и другие организации.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-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Правоустанавливающие документы (например, договор купли‑продажи).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b/>
          <w:bCs/>
          <w:color w:val="000000"/>
          <w:sz w:val="28"/>
          <w:szCs w:val="28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Вот самые частые ситуации, когда документы необходимы:</w:t>
      </w:r>
      <w:r>
        <w:rPr>
          <w:rFonts w:ascii="Tinos" w:hAnsi="Tinos" w:cs="Tinos"/>
          <w:b/>
          <w:bCs/>
          <w:color w:val="000000"/>
          <w:sz w:val="28"/>
          <w:szCs w:val="28"/>
        </w:rPr>
      </w:r>
      <w:r>
        <w:rPr>
          <w:rFonts w:ascii="Tinos" w:hAnsi="Tinos" w:cs="Tinos"/>
          <w:b/>
          <w:bCs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Прописка. Чтобы зарегистрироваться по месту жительства,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потребуются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документы, подтверждающие право собственности.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Коммунальные платежи. Лицевые счета нужно переоформить на нового собственника. Иначе квитанции будут приходить на прежнего владельца.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Имущественный налоговый вычет. Для оформления вычета налоговая попросит документы о регистрации.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Доступ к банковской ячейке. Если расчёт по сделке был через ячейку, часто условием доступа к деньгам является как раз наличие выписки из ЕГРН.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Следующая сделка. При продаже, дарении или залоге недвижимости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покупателю и банку обязательно понадобятся оригиналы документов.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·</w:t>
      </w:r>
      <w:r>
        <w:rPr>
          <w:rFonts w:ascii="Tinos" w:hAnsi="Tinos" w:eastAsia="Tinos" w:cs="Tinos"/>
          <w:color w:val="000000"/>
          <w:sz w:val="28"/>
          <w:szCs w:val="28"/>
        </w:rPr>
        <w:tab/>
        <w:t xml:space="preserve">Спорные ситуации в отношении недвижимости (например, оспаривание сделки). В таких случаях каждая минута на счету: нужны документы, чтобы защитить свои права. Если их нет под рукой, это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повлечет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потерю времени на поиски.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Где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и сколько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хранятся документы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567" w:leader="none"/>
        </w:tabs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Невостребованные документы хранятся в МФЦ 45 календарных дней после окончания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учетно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-регистрационных действий. Далее их передают на архивное хранение в филиал ППК «Роскадастр» по Иркутской области. В архиве документы тоже хранят ограниченное время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: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 истечении 10-летнего срока документы по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лежат уничтожению.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567" w:leader="none"/>
        </w:tabs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Забрать документы сразу после регистрации — это не формальность, а защита вашего спокойствия. Это сэкономит время, нервы и деньги, если вдруг понадобится быстро что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‑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то оформить, продать или доказать свои права.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b/>
          <w:bCs/>
          <w:color w:val="000000"/>
          <w:sz w:val="28"/>
          <w:szCs w:val="28"/>
        </w:rPr>
      </w:pP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Как получить невостребованные документы в Иркутской области просто и быстро</w:t>
      </w:r>
      <w:r>
        <w:rPr>
          <w:rFonts w:ascii="Tinos" w:hAnsi="Tinos" w:cs="Tinos"/>
          <w:b/>
          <w:bCs/>
          <w:color w:val="000000"/>
          <w:sz w:val="28"/>
          <w:szCs w:val="28"/>
        </w:rPr>
      </w:r>
      <w:r>
        <w:rPr>
          <w:rFonts w:ascii="Tinos" w:hAnsi="Tinos" w:cs="Tinos"/>
          <w:b/>
          <w:bCs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Сегодня у граждан имеется возможность выбора: самостоятельно посетить офис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приема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-выдачи документов или заказать выезд специалиста филиала ППК «Роскадастр» по Иркутской области на дом или в офис (курьерская доставка).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Преимущества курьерской доставки очевидны. Заявитель может получить услугу, выбрав удобное для себя время и место, избежать возможного ожидания в очереди и сэкономить время на дорогу. Услуга является платной!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Узнать более подробную информацию и ознакомиться с тарифами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можно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любым удобным способом: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pStyle w:val="857"/>
        <w:numPr>
          <w:ilvl w:val="0"/>
          <w:numId w:val="2"/>
        </w:numPr>
        <w:ind w:left="0"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 телефону Ведомственного центра телефонного обслуживания Росреестра 8-800-100-34-34 (звонок бесплатный);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pStyle w:val="857"/>
        <w:numPr>
          <w:ilvl w:val="0"/>
          <w:numId w:val="2"/>
        </w:numPr>
        <w:ind w:left="0"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 телефонам филиала ППК «Роскадастр» по Иркутской области: 8 (3955) 58 15 74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(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доб.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4516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)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8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(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964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)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115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97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63, 8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(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964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)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116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38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29;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pStyle w:val="857"/>
        <w:numPr>
          <w:ilvl w:val="0"/>
          <w:numId w:val="2"/>
        </w:numPr>
        <w:ind w:left="0"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по адресу электронной почты: dostavka@38.kadastr.ru;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pStyle w:val="857"/>
        <w:numPr>
          <w:ilvl w:val="0"/>
          <w:numId w:val="2"/>
        </w:numPr>
        <w:ind w:left="0"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обратиться лично в филиал ППК «Роскадастр»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 Иркутской области по адресам: 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- г. Иркутск,  ул. С. Перовской, 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30,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каб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215;</w:t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709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- г. Ангарск, 103-й квартал, д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1,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каб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108.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Выдача невостребованных документов осуществляется при предъявлении паспорта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или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доверенности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в случае обращения представителя заявителя.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1" w:after="57" w:line="240" w:lineRule="auto"/>
        <w:tabs>
          <w:tab w:val="left" w:pos="283" w:leader="none"/>
        </w:tabs>
        <w:rPr>
          <w:rFonts w:ascii="Tinos" w:hAnsi="Tinos" w:cs="Tinos"/>
          <w:color w:val="000000"/>
          <w:sz w:val="28"/>
          <w:szCs w:val="28"/>
        </w:rPr>
      </w:pP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  <w:r>
        <w:rPr>
          <w:rFonts w:ascii="Tinos" w:hAnsi="Tinos" w:cs="Tinos"/>
          <w:color w:val="00000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686"/>
    <w:link w:val="677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686"/>
    <w:link w:val="678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686"/>
    <w:link w:val="679"/>
    <w:uiPriority w:val="9"/>
    <w:rPr>
      <w:rFonts w:ascii="Arial" w:hAnsi="Arial" w:eastAsia="Arial" w:cs="Arial"/>
      <w:sz w:val="30"/>
      <w:szCs w:val="30"/>
    </w:rPr>
  </w:style>
  <w:style w:type="character" w:styleId="661">
    <w:name w:val="Heading 4 Char"/>
    <w:basedOn w:val="686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62">
    <w:name w:val="Heading 5 Char"/>
    <w:basedOn w:val="686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63">
    <w:name w:val="Heading 6 Char"/>
    <w:basedOn w:val="686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64">
    <w:name w:val="Heading 7 Char"/>
    <w:basedOn w:val="686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5">
    <w:name w:val="Heading 8 Char"/>
    <w:basedOn w:val="686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66">
    <w:name w:val="Heading 9 Char"/>
    <w:basedOn w:val="686"/>
    <w:link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67">
    <w:name w:val="Title Char"/>
    <w:basedOn w:val="686"/>
    <w:link w:val="698"/>
    <w:uiPriority w:val="10"/>
    <w:rPr>
      <w:sz w:val="48"/>
      <w:szCs w:val="48"/>
    </w:rPr>
  </w:style>
  <w:style w:type="character" w:styleId="668">
    <w:name w:val="Subtitle Char"/>
    <w:basedOn w:val="686"/>
    <w:link w:val="700"/>
    <w:uiPriority w:val="11"/>
    <w:rPr>
      <w:sz w:val="24"/>
      <w:szCs w:val="24"/>
    </w:rPr>
  </w:style>
  <w:style w:type="character" w:styleId="669">
    <w:name w:val="Quote Char"/>
    <w:link w:val="702"/>
    <w:uiPriority w:val="29"/>
    <w:rPr>
      <w:i/>
    </w:rPr>
  </w:style>
  <w:style w:type="character" w:styleId="670">
    <w:name w:val="Intense Quote Char"/>
    <w:link w:val="704"/>
    <w:uiPriority w:val="30"/>
    <w:rPr>
      <w:i/>
    </w:rPr>
  </w:style>
  <w:style w:type="character" w:styleId="671">
    <w:name w:val="Header Char"/>
    <w:basedOn w:val="686"/>
    <w:link w:val="706"/>
    <w:uiPriority w:val="99"/>
  </w:style>
  <w:style w:type="character" w:styleId="672">
    <w:name w:val="Footer Char"/>
    <w:basedOn w:val="686"/>
    <w:link w:val="708"/>
    <w:uiPriority w:val="99"/>
  </w:style>
  <w:style w:type="character" w:styleId="673">
    <w:name w:val="Caption Char"/>
    <w:basedOn w:val="686"/>
    <w:link w:val="710"/>
    <w:uiPriority w:val="35"/>
    <w:rPr>
      <w:b/>
      <w:bCs/>
      <w:color w:val="4f81bd" w:themeColor="accent1"/>
      <w:sz w:val="18"/>
      <w:szCs w:val="18"/>
    </w:rPr>
  </w:style>
  <w:style w:type="character" w:styleId="674">
    <w:name w:val="Footnote Text Char"/>
    <w:link w:val="839"/>
    <w:uiPriority w:val="99"/>
    <w:rPr>
      <w:sz w:val="18"/>
    </w:rPr>
  </w:style>
  <w:style w:type="character" w:styleId="675">
    <w:name w:val="Endnote Text Char"/>
    <w:link w:val="842"/>
    <w:uiPriority w:val="99"/>
    <w:rPr>
      <w:sz w:val="20"/>
    </w:rPr>
  </w:style>
  <w:style w:type="paragraph" w:styleId="676" w:default="1">
    <w:name w:val="Normal"/>
    <w:qFormat/>
  </w:style>
  <w:style w:type="paragraph" w:styleId="677">
    <w:name w:val="Heading 1"/>
    <w:basedOn w:val="676"/>
    <w:next w:val="676"/>
    <w:link w:val="68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8">
    <w:name w:val="Heading 2"/>
    <w:basedOn w:val="676"/>
    <w:next w:val="676"/>
    <w:link w:val="690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9">
    <w:name w:val="Heading 3"/>
    <w:basedOn w:val="676"/>
    <w:next w:val="676"/>
    <w:link w:val="691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0">
    <w:name w:val="Heading 4"/>
    <w:basedOn w:val="676"/>
    <w:next w:val="676"/>
    <w:link w:val="692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1">
    <w:name w:val="Heading 5"/>
    <w:basedOn w:val="676"/>
    <w:next w:val="676"/>
    <w:link w:val="693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676"/>
    <w:next w:val="676"/>
    <w:link w:val="694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3">
    <w:name w:val="Heading 7"/>
    <w:basedOn w:val="676"/>
    <w:next w:val="676"/>
    <w:link w:val="69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4">
    <w:name w:val="Heading 8"/>
    <w:basedOn w:val="676"/>
    <w:next w:val="676"/>
    <w:link w:val="69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5">
    <w:name w:val="Heading 9"/>
    <w:basedOn w:val="676"/>
    <w:next w:val="676"/>
    <w:link w:val="69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character" w:styleId="689" w:customStyle="1">
    <w:name w:val="Заголовок 1 Знак"/>
    <w:link w:val="677"/>
    <w:uiPriority w:val="9"/>
    <w:rPr>
      <w:rFonts w:ascii="Arial" w:hAnsi="Arial" w:eastAsia="Arial" w:cs="Arial"/>
      <w:sz w:val="40"/>
      <w:szCs w:val="40"/>
    </w:rPr>
  </w:style>
  <w:style w:type="character" w:styleId="690" w:customStyle="1">
    <w:name w:val="Заголовок 2 Знак"/>
    <w:link w:val="678"/>
    <w:uiPriority w:val="9"/>
    <w:rPr>
      <w:rFonts w:ascii="Arial" w:hAnsi="Arial" w:eastAsia="Arial" w:cs="Arial"/>
      <w:sz w:val="34"/>
    </w:rPr>
  </w:style>
  <w:style w:type="character" w:styleId="691" w:customStyle="1">
    <w:name w:val="Заголовок 3 Знак"/>
    <w:link w:val="679"/>
    <w:uiPriority w:val="9"/>
    <w:rPr>
      <w:rFonts w:ascii="Arial" w:hAnsi="Arial" w:eastAsia="Arial" w:cs="Arial"/>
      <w:sz w:val="30"/>
      <w:szCs w:val="30"/>
    </w:rPr>
  </w:style>
  <w:style w:type="character" w:styleId="692" w:customStyle="1">
    <w:name w:val="Заголовок 4 Знак"/>
    <w:link w:val="680"/>
    <w:uiPriority w:val="9"/>
    <w:rPr>
      <w:rFonts w:ascii="Arial" w:hAnsi="Arial" w:eastAsia="Arial" w:cs="Arial"/>
      <w:b/>
      <w:bCs/>
      <w:sz w:val="26"/>
      <w:szCs w:val="26"/>
    </w:rPr>
  </w:style>
  <w:style w:type="character" w:styleId="693" w:customStyle="1">
    <w:name w:val="Заголовок 5 Знак"/>
    <w:link w:val="681"/>
    <w:uiPriority w:val="9"/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Заголовок 6 Знак"/>
    <w:link w:val="682"/>
    <w:uiPriority w:val="9"/>
    <w:rPr>
      <w:rFonts w:ascii="Arial" w:hAnsi="Arial" w:eastAsia="Arial" w:cs="Arial"/>
      <w:b/>
      <w:bCs/>
      <w:sz w:val="22"/>
      <w:szCs w:val="22"/>
    </w:rPr>
  </w:style>
  <w:style w:type="character" w:styleId="695" w:customStyle="1">
    <w:name w:val="Заголовок 7 Знак"/>
    <w:link w:val="6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6" w:customStyle="1">
    <w:name w:val="Заголовок 8 Знак"/>
    <w:link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7" w:customStyle="1">
    <w:name w:val="Заголовок 9 Знак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98">
    <w:name w:val="Title"/>
    <w:basedOn w:val="676"/>
    <w:next w:val="676"/>
    <w:link w:val="699"/>
    <w:uiPriority w:val="10"/>
    <w:qFormat/>
    <w:pPr>
      <w:contextualSpacing/>
      <w:spacing w:before="300"/>
    </w:pPr>
    <w:rPr>
      <w:sz w:val="48"/>
      <w:szCs w:val="48"/>
    </w:rPr>
  </w:style>
  <w:style w:type="character" w:styleId="699" w:customStyle="1">
    <w:name w:val="Заголовок Знак"/>
    <w:link w:val="698"/>
    <w:uiPriority w:val="10"/>
    <w:rPr>
      <w:sz w:val="48"/>
      <w:szCs w:val="48"/>
    </w:rPr>
  </w:style>
  <w:style w:type="paragraph" w:styleId="700">
    <w:name w:val="Subtitle"/>
    <w:basedOn w:val="676"/>
    <w:next w:val="676"/>
    <w:link w:val="701"/>
    <w:uiPriority w:val="11"/>
    <w:qFormat/>
    <w:pPr>
      <w:spacing w:before="200"/>
    </w:pPr>
    <w:rPr>
      <w:sz w:val="24"/>
      <w:szCs w:val="24"/>
    </w:rPr>
  </w:style>
  <w:style w:type="character" w:styleId="701" w:customStyle="1">
    <w:name w:val="Подзаголовок Знак"/>
    <w:link w:val="700"/>
    <w:uiPriority w:val="11"/>
    <w:rPr>
      <w:sz w:val="24"/>
      <w:szCs w:val="24"/>
    </w:rPr>
  </w:style>
  <w:style w:type="paragraph" w:styleId="702">
    <w:name w:val="Quote"/>
    <w:basedOn w:val="676"/>
    <w:next w:val="676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76"/>
    <w:next w:val="676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7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link w:val="706"/>
    <w:uiPriority w:val="99"/>
  </w:style>
  <w:style w:type="paragraph" w:styleId="708">
    <w:name w:val="Footer"/>
    <w:basedOn w:val="676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Нижний колонтитул Знак"/>
    <w:link w:val="708"/>
    <w:uiPriority w:val="99"/>
  </w:style>
  <w:style w:type="paragraph" w:styleId="710">
    <w:name w:val="Caption"/>
    <w:basedOn w:val="676"/>
    <w:next w:val="676"/>
    <w:link w:val="71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1" w:customStyle="1">
    <w:name w:val="Название объекта Знак"/>
    <w:link w:val="710"/>
    <w:uiPriority w:val="35"/>
    <w:rPr>
      <w:b/>
      <w:bCs/>
      <w:color w:val="5b9bd5" w:themeColor="accent1"/>
      <w:sz w:val="18"/>
      <w:szCs w:val="18"/>
    </w:rPr>
  </w:style>
  <w:style w:type="table" w:styleId="712">
    <w:name w:val="Table Grid"/>
    <w:basedOn w:val="6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3" w:customStyle="1">
    <w:name w:val="Table Grid Light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4">
    <w:name w:val="Plain Table 1"/>
    <w:basedOn w:val="68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68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 w:customStyle="1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2" w:customStyle="1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3" w:customStyle="1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4" w:customStyle="1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5" w:customStyle="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6" w:customStyle="1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7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4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5" w:customStyle="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6" w:customStyle="1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7" w:customStyle="1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8" w:customStyle="1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9" w:customStyle="1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0" w:customStyle="1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1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5" w:customStyle="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6" w:customStyle="1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7" w:customStyle="1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8" w:customStyle="1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9" w:customStyle="1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0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8" w:customStyle="1">
    <w:name w:val="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9" w:customStyle="1">
    <w:name w:val="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0" w:customStyle="1">
    <w:name w:val="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1" w:customStyle="1">
    <w:name w:val="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2" w:customStyle="1">
    <w:name w:val="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3" w:customStyle="1">
    <w:name w:val="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4" w:customStyle="1">
    <w:name w:val="Bordered &amp; Lined - Accent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Bordered &amp; Lined - Accent 1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6" w:customStyle="1">
    <w:name w:val="Bordered &amp; Lined - Accent 2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7" w:customStyle="1">
    <w:name w:val="Bordered &amp; Lined - Accent 3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8" w:customStyle="1">
    <w:name w:val="Bordered &amp; Lined - Accent 4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9" w:customStyle="1">
    <w:name w:val="Bordered &amp; Lined - Accent 5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0" w:customStyle="1">
    <w:name w:val="Bordered &amp; Lined - Accent 6"/>
    <w:basedOn w:val="68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1" w:customStyle="1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2" w:customStyle="1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3" w:customStyle="1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4" w:customStyle="1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5" w:customStyle="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6" w:customStyle="1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7" w:customStyle="1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563c1" w:themeColor="hyperlink"/>
      <w:u w:val="single"/>
    </w:rPr>
  </w:style>
  <w:style w:type="paragraph" w:styleId="839">
    <w:name w:val="footnote text"/>
    <w:basedOn w:val="67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 w:customStyle="1">
    <w:name w:val="Текст сноски Знак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67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 w:customStyle="1">
    <w:name w:val="Текст концевой сноски Знак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676"/>
    <w:next w:val="676"/>
    <w:uiPriority w:val="39"/>
    <w:unhideWhenUsed/>
    <w:pPr>
      <w:spacing w:after="57"/>
    </w:pPr>
  </w:style>
  <w:style w:type="paragraph" w:styleId="846">
    <w:name w:val="toc 2"/>
    <w:basedOn w:val="676"/>
    <w:next w:val="676"/>
    <w:uiPriority w:val="39"/>
    <w:unhideWhenUsed/>
    <w:pPr>
      <w:ind w:left="283"/>
      <w:spacing w:after="57"/>
    </w:pPr>
  </w:style>
  <w:style w:type="paragraph" w:styleId="847">
    <w:name w:val="toc 3"/>
    <w:basedOn w:val="676"/>
    <w:next w:val="676"/>
    <w:uiPriority w:val="39"/>
    <w:unhideWhenUsed/>
    <w:pPr>
      <w:ind w:left="567"/>
      <w:spacing w:after="57"/>
    </w:pPr>
  </w:style>
  <w:style w:type="paragraph" w:styleId="848">
    <w:name w:val="toc 4"/>
    <w:basedOn w:val="676"/>
    <w:next w:val="676"/>
    <w:uiPriority w:val="39"/>
    <w:unhideWhenUsed/>
    <w:pPr>
      <w:ind w:left="850"/>
      <w:spacing w:after="57"/>
    </w:pPr>
  </w:style>
  <w:style w:type="paragraph" w:styleId="849">
    <w:name w:val="toc 5"/>
    <w:basedOn w:val="676"/>
    <w:next w:val="676"/>
    <w:uiPriority w:val="39"/>
    <w:unhideWhenUsed/>
    <w:pPr>
      <w:ind w:left="1134"/>
      <w:spacing w:after="57"/>
    </w:pPr>
  </w:style>
  <w:style w:type="paragraph" w:styleId="850">
    <w:name w:val="toc 6"/>
    <w:basedOn w:val="676"/>
    <w:next w:val="676"/>
    <w:uiPriority w:val="39"/>
    <w:unhideWhenUsed/>
    <w:pPr>
      <w:ind w:left="1417"/>
      <w:spacing w:after="57"/>
    </w:pPr>
  </w:style>
  <w:style w:type="paragraph" w:styleId="851">
    <w:name w:val="toc 7"/>
    <w:basedOn w:val="676"/>
    <w:next w:val="676"/>
    <w:uiPriority w:val="39"/>
    <w:unhideWhenUsed/>
    <w:pPr>
      <w:ind w:left="1701"/>
      <w:spacing w:after="57"/>
    </w:pPr>
  </w:style>
  <w:style w:type="paragraph" w:styleId="852">
    <w:name w:val="toc 8"/>
    <w:basedOn w:val="676"/>
    <w:next w:val="676"/>
    <w:uiPriority w:val="39"/>
    <w:unhideWhenUsed/>
    <w:pPr>
      <w:ind w:left="1984"/>
      <w:spacing w:after="57"/>
    </w:pPr>
  </w:style>
  <w:style w:type="paragraph" w:styleId="853">
    <w:name w:val="toc 9"/>
    <w:basedOn w:val="676"/>
    <w:next w:val="676"/>
    <w:uiPriority w:val="39"/>
    <w:unhideWhenUsed/>
    <w:pPr>
      <w:ind w:left="2268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676"/>
    <w:next w:val="676"/>
    <w:uiPriority w:val="99"/>
    <w:unhideWhenUsed/>
    <w:pPr>
      <w:spacing w:after="0"/>
    </w:pPr>
  </w:style>
  <w:style w:type="paragraph" w:styleId="856">
    <w:name w:val="No Spacing"/>
    <w:basedOn w:val="676"/>
    <w:uiPriority w:val="1"/>
    <w:qFormat/>
    <w:pPr>
      <w:spacing w:after="0" w:line="240" w:lineRule="auto"/>
    </w:pPr>
  </w:style>
  <w:style w:type="paragraph" w:styleId="857">
    <w:name w:val="List Paragraph"/>
    <w:basedOn w:val="676"/>
    <w:uiPriority w:val="34"/>
    <w:qFormat/>
    <w:pPr>
      <w:contextualSpacing/>
      <w:ind w:left="720"/>
    </w:pPr>
  </w:style>
  <w:style w:type="paragraph" w:styleId="858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Юлия Михайловна</dc:creator>
  <cp:lastModifiedBy>senskaya_ea</cp:lastModifiedBy>
  <cp:revision>5</cp:revision>
  <dcterms:created xsi:type="dcterms:W3CDTF">2026-09-03T09:06:00Z</dcterms:created>
  <dcterms:modified xsi:type="dcterms:W3CDTF">2026-09-11T03:50:05Z</dcterms:modified>
</cp:coreProperties>
</file>